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D58C0">
        <w:rPr>
          <w:rFonts w:ascii="Segoe UI" w:eastAsia="Arial Unicode MS" w:hAnsi="Segoe UI" w:cs="Segoe UI"/>
          <w:b/>
          <w:lang w:eastAsia="ar-SA" w:bidi="en-US"/>
        </w:rPr>
        <w:t>ПИОНЕРБОЛ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D58C0">
        <w:rPr>
          <w:rFonts w:ascii="Segoe UI" w:eastAsia="@Arial Unicode MS" w:hAnsi="Segoe UI" w:cs="Segoe UI"/>
          <w:color w:val="000000"/>
          <w:lang w:eastAsia="ar-SA"/>
        </w:rPr>
        <w:t>Пионербол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D58C0" w:rsidRPr="007D3F8D" w:rsidRDefault="000D0B70" w:rsidP="00BD58C0">
      <w:pPr>
        <w:shd w:val="clear" w:color="auto" w:fill="FFFFFF"/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D58C0">
        <w:rPr>
          <w:rFonts w:ascii="Segoe UI" w:hAnsi="Segoe UI" w:cs="Segoe UI"/>
          <w:szCs w:val="28"/>
        </w:rPr>
        <w:t>Пионербол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D58C0">
        <w:rPr>
          <w:rFonts w:ascii="Segoe UI" w:hAnsi="Segoe UI" w:cs="Segoe UI"/>
        </w:rPr>
        <w:t>обучении</w:t>
      </w:r>
      <w:r w:rsidR="00BD58C0" w:rsidRPr="007D3F8D">
        <w:rPr>
          <w:rFonts w:ascii="Segoe UI" w:hAnsi="Segoe UI" w:cs="Segoe UI"/>
        </w:rPr>
        <w:t xml:space="preserve"> техническим и тактическим приемам игры в пионербол с дальнейшим применением их в игровой деятельности.</w:t>
      </w:r>
    </w:p>
    <w:p w:rsidR="006515FA" w:rsidRPr="006515FA" w:rsidRDefault="006515FA" w:rsidP="00BD58C0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  <w:sz w:val="18"/>
        </w:rPr>
      </w:pPr>
      <w:bookmarkStart w:id="1" w:name="_Toc70000260"/>
      <w:r w:rsidRPr="007D3F8D">
        <w:rPr>
          <w:rFonts w:ascii="Segoe UI" w:hAnsi="Segoe UI" w:cs="Segoe UI"/>
          <w:szCs w:val="35"/>
        </w:rPr>
        <w:t>Пионербол - мощное средство агитации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пропаганды физической культуры и спорта в школе. Игровая и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тренировочная деятельность оказывает комплексное и разностороннее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воздействие на организм занимающихся. Пионербол развивает основные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физические качества: быстроту, ловкость, выносливость, силу, повышает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функциональные возможности, формирует различные двигательные</w:t>
      </w:r>
      <w:r w:rsidRPr="007D3F8D">
        <w:rPr>
          <w:rFonts w:ascii="Segoe UI" w:hAnsi="Segoe UI" w:cs="Segoe UI"/>
          <w:sz w:val="18"/>
        </w:rPr>
        <w:t xml:space="preserve"> </w:t>
      </w:r>
      <w:r w:rsidRPr="007D3F8D">
        <w:rPr>
          <w:rFonts w:ascii="Segoe UI" w:hAnsi="Segoe UI" w:cs="Segoe UI"/>
          <w:szCs w:val="35"/>
        </w:rPr>
        <w:t>навыки и постепенно готовит детей к более сложной игре в волейбол.</w:t>
      </w:r>
    </w:p>
    <w:p w:rsidR="00BD58C0" w:rsidRPr="007D3F8D" w:rsidRDefault="00BD58C0" w:rsidP="00BD58C0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 xml:space="preserve"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</w:t>
      </w:r>
      <w:r w:rsidRPr="007D3F8D">
        <w:rPr>
          <w:rFonts w:ascii="Segoe UI" w:hAnsi="Segoe UI" w:cs="Segoe UI"/>
        </w:rPr>
        <w:lastRenderedPageBreak/>
        <w:t>произвольных движений из-за нарушений развития сенсорной системы до двигательных нарушений неврологического генеза.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D58C0" w:rsidRPr="007D3F8D" w:rsidRDefault="00BD58C0" w:rsidP="00BD58C0">
      <w:pPr>
        <w:ind w:firstLine="708"/>
        <w:jc w:val="both"/>
        <w:rPr>
          <w:rFonts w:ascii="Segoe UI" w:hAnsi="Segoe UI" w:cs="Segoe UI"/>
        </w:rPr>
      </w:pPr>
      <w:r w:rsidRPr="007D3F8D">
        <w:rPr>
          <w:rFonts w:ascii="Segoe UI" w:hAnsi="Segoe UI" w:cs="Segoe UI"/>
        </w:rPr>
        <w:t>Курс физкультурно-спортивной направленности «Пионербол»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BD58C0">
        <w:rPr>
          <w:rStyle w:val="20"/>
          <w:rFonts w:ascii="Segoe UI" w:hAnsi="Segoe UI" w:cs="Segoe UI"/>
        </w:rPr>
        <w:t>Пионербол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</w:rPr>
      </w:pPr>
      <w:bookmarkStart w:id="2" w:name="_Toc70000257"/>
      <w:r w:rsidRPr="00EE7E3B">
        <w:rPr>
          <w:rFonts w:ascii="Segoe UI" w:hAnsi="Segoe UI" w:cs="Segoe UI"/>
          <w:b/>
          <w:i/>
        </w:rPr>
        <w:t>Вводное занятие.</w:t>
      </w:r>
      <w:r w:rsidRPr="00EE7E3B">
        <w:rPr>
          <w:rFonts w:ascii="Segoe UI" w:hAnsi="Segoe UI" w:cs="Segoe UI"/>
          <w:b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Стартовый контроль.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Теоретическая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Основные положения правил игры в пионербол. Нарушения, жесты судей, правила соревнований.</w:t>
      </w:r>
      <w:r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</w:rPr>
        <w:t xml:space="preserve">Понятие о технике и тактике игры, предупреждение травматизма. 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Общая физическая подготовка.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b/>
          <w:color w:val="000000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силы.</w:t>
      </w:r>
      <w:r w:rsidRPr="00EE7E3B">
        <w:rPr>
          <w:rFonts w:ascii="Segoe UI" w:hAnsi="Segoe UI" w:cs="Segoe UI"/>
        </w:rPr>
        <w:t xml:space="preserve"> </w:t>
      </w:r>
      <w:r w:rsidRPr="00EE7E3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EE7E3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EE7E3B">
        <w:rPr>
          <w:rFonts w:ascii="Segoe UI" w:hAnsi="Segoe UI" w:cs="Segoe UI"/>
          <w:u w:val="single"/>
        </w:rPr>
        <w:t>Упражнения для ног.</w:t>
      </w:r>
      <w:r w:rsidRPr="00EE7E3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EE7E3B">
        <w:rPr>
          <w:rFonts w:ascii="Segoe UI" w:hAnsi="Segoe UI" w:cs="Segoe UI"/>
        </w:rPr>
        <w:br/>
      </w:r>
      <w:r w:rsidRPr="00EE7E3B">
        <w:rPr>
          <w:rFonts w:ascii="Segoe UI" w:hAnsi="Segoe UI" w:cs="Segoe UI"/>
          <w:u w:val="single"/>
        </w:rPr>
        <w:t>Упражнения для шеи и туловища.</w:t>
      </w:r>
      <w:r w:rsidRPr="00EE7E3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EE7E3B">
        <w:rPr>
          <w:rFonts w:ascii="Segoe UI" w:hAnsi="Segoe UI" w:cs="Segoe UI"/>
          <w:u w:val="single"/>
        </w:rPr>
        <w:t>Упражнения для всех групп мышц.</w:t>
      </w:r>
      <w:r w:rsidRPr="00EE7E3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EE7E3B">
        <w:rPr>
          <w:rFonts w:ascii="Segoe UI" w:hAnsi="Segoe UI" w:cs="Segoe UI"/>
          <w:b/>
        </w:rPr>
        <w:t xml:space="preserve"> </w:t>
      </w:r>
      <w:r w:rsidRPr="00EE7E3B">
        <w:rPr>
          <w:rFonts w:ascii="Segoe UI" w:hAnsi="Segoe UI" w:cs="Segoe UI"/>
        </w:rPr>
        <w:t xml:space="preserve">Повторный бег по дистанции от 30 до 100 м со старта и с ходу с максимальной скоростью. </w:t>
      </w:r>
      <w:r>
        <w:rPr>
          <w:rFonts w:ascii="Segoe UI" w:hAnsi="Segoe UI" w:cs="Segoe UI"/>
        </w:rPr>
        <w:t>е</w:t>
      </w:r>
      <w:r w:rsidRPr="00EE7E3B">
        <w:rPr>
          <w:rFonts w:ascii="Segoe UI" w:hAnsi="Segoe UI" w:cs="Segoe UI"/>
        </w:rPr>
        <w:t>Выполнения общеразвивающих упражнений в максимальном темпе.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гибкости.</w:t>
      </w:r>
      <w:r w:rsidRPr="00EE7E3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</w:t>
      </w:r>
      <w:r w:rsidRPr="00EE7E3B">
        <w:rPr>
          <w:rFonts w:ascii="Segoe UI" w:hAnsi="Segoe UI" w:cs="Segoe UI"/>
        </w:rPr>
        <w:lastRenderedPageBreak/>
        <w:t>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EE7E3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u w:val="single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EE7E3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Групповые упражнения с гимнастической скамейкой.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EE7E3B">
        <w:rPr>
          <w:rFonts w:ascii="Segoe UI" w:hAnsi="Segoe UI" w:cs="Segoe UI"/>
        </w:rPr>
        <w:t xml:space="preserve"> Бег равномерный и переменный на 500, 800 м. Спортивные игры на время: волейбол, баскетбол, мини-футбол.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Специальная физическая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бросков.</w:t>
      </w:r>
      <w:r w:rsidRPr="00EE7E3B">
        <w:rPr>
          <w:rFonts w:ascii="Segoe UI" w:hAnsi="Segoe UI" w:cs="Segoe UI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навыков быстроты ответных действий.</w:t>
      </w:r>
      <w:r w:rsidRPr="00EE7E3B">
        <w:rPr>
          <w:rFonts w:ascii="Segoe UI" w:hAnsi="Segoe UI" w:cs="Segoe UI"/>
        </w:rPr>
        <w:t xml:space="preserve"> По сигналу бег на 5, 10, 15 метров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выполнении подачи мяча.</w:t>
      </w:r>
      <w:r w:rsidRPr="00EE7E3B">
        <w:rPr>
          <w:rFonts w:ascii="Segoe UI" w:hAnsi="Segoe UI" w:cs="Segoe UI"/>
        </w:rPr>
        <w:t xml:space="preserve"> Круговые вращения руками в плечевых суставах с большой амплитудой и максимальной быстротой. Броски мяча из-за головы с максимальным прогибанием. Броски мяча через сетку на точность зоны.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 при приеме и передачи мяча.</w:t>
      </w:r>
      <w:r w:rsidRPr="00EE7E3B">
        <w:rPr>
          <w:rFonts w:ascii="Segoe UI" w:hAnsi="Segoe UI" w:cs="Segoe UI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Упор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качеств, необходимых при игре в защите.</w:t>
      </w:r>
      <w:r w:rsidRPr="00EE7E3B">
        <w:rPr>
          <w:rFonts w:ascii="Segoe UI" w:hAnsi="Segoe UI" w:cs="Segoe UI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EE7E3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</w:t>
      </w:r>
      <w:r w:rsidRPr="00EE7E3B">
        <w:rPr>
          <w:rFonts w:ascii="Segoe UI" w:hAnsi="Segoe UI" w:cs="Segoe UI"/>
        </w:rPr>
        <w:lastRenderedPageBreak/>
        <w:t>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BD58C0" w:rsidRPr="00EE7E3B" w:rsidRDefault="00BD58C0" w:rsidP="00BD58C0">
      <w:pPr>
        <w:ind w:right="53" w:firstLine="709"/>
        <w:jc w:val="both"/>
        <w:rPr>
          <w:rFonts w:ascii="Segoe UI" w:hAnsi="Segoe UI" w:cs="Segoe UI"/>
          <w:color w:val="000000"/>
        </w:rPr>
      </w:pPr>
      <w:r w:rsidRPr="00EE7E3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EE7E3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 xml:space="preserve">Техническая подготовка.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sz w:val="28"/>
        </w:rPr>
      </w:pPr>
      <w:r w:rsidRPr="00EE7E3B">
        <w:rPr>
          <w:rFonts w:ascii="Segoe UI" w:hAnsi="Segoe UI" w:cs="Segoe UI"/>
        </w:rPr>
        <w:t>Упражнения для развития качеств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при ловле и передачи мяча. Передачи баскетбольного мяча, волейбольного на дальность в парах, над собой, в стенку. Стартовая стойка (исходные положения) - основная. Перемещение по площадке. Перемещение при</w:t>
      </w:r>
      <w:r>
        <w:rPr>
          <w:rFonts w:ascii="Segoe UI" w:hAnsi="Segoe UI" w:cs="Segoe UI"/>
        </w:rPr>
        <w:t>ставным шагом. Перемещение впере</w:t>
      </w:r>
      <w:r w:rsidRPr="00EE7E3B">
        <w:rPr>
          <w:rFonts w:ascii="Segoe UI" w:hAnsi="Segoe UI" w:cs="Segoe UI"/>
        </w:rPr>
        <w:t>д, назад, правым боком</w:t>
      </w:r>
      <w:r>
        <w:rPr>
          <w:rFonts w:ascii="Segoe UI" w:hAnsi="Segoe UI" w:cs="Segoe UI"/>
        </w:rPr>
        <w:t>, левым лицом, спиной впере</w:t>
      </w:r>
      <w:r w:rsidRPr="00EE7E3B">
        <w:rPr>
          <w:rFonts w:ascii="Segoe UI" w:hAnsi="Segoe UI" w:cs="Segoe UI"/>
        </w:rPr>
        <w:t>д. Переход. Ловля и бросок мяча в парах, тройках. Ловля мяча после удара в стену. Прием мяча в падении. Броски мяча в парах, в стенку, через сетку. Броски и ловля мяча. Передачи баскетбольного мяча, волейбольного на дальность в парах, над собой, в стенку. Передача мяча внутри команды. Броски мяча в парах, через сетку. Передача в парах. Броски из-за головы</w:t>
      </w:r>
      <w:r>
        <w:rPr>
          <w:rFonts w:ascii="Segoe UI" w:hAnsi="Segoe UI" w:cs="Segoe UI"/>
        </w:rPr>
        <w:t>,</w:t>
      </w:r>
      <w:r w:rsidRPr="00EE7E3B">
        <w:rPr>
          <w:rFonts w:ascii="Segoe UI" w:hAnsi="Segoe UI" w:cs="Segoe UI"/>
        </w:rPr>
        <w:t xml:space="preserve"> с максимальным прогибанием. Броски мяча через сетку на точность зоны. Подача мяча. Подача в стенку, через сетку с расстояния 6-9 м., подача через сетку из-за лицевой линии. Подача м</w:t>
      </w:r>
      <w:r>
        <w:rPr>
          <w:rFonts w:ascii="Segoe UI" w:hAnsi="Segoe UI" w:cs="Segoe UI"/>
        </w:rPr>
        <w:t>яча из зоны 1 в зоны 4,5,6. Прием мяча после подачи. Прие</w:t>
      </w:r>
      <w:r w:rsidRPr="00EE7E3B">
        <w:rPr>
          <w:rFonts w:ascii="Segoe UI" w:hAnsi="Segoe UI" w:cs="Segoe UI"/>
        </w:rPr>
        <w:t>м мяча после перемещения. Действия игрока после приема мяча. Закрепление приема мяча. Нападающий бросок. Нападающий бросок со второй линии. Нападающий бросок после передачи.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t>Тактическая подготовка.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Перемещение по площадке. Прием мяча с последующей передачей партнеру. Нападающий бросок мяча в определенную зону. Нападающий бросок мяча с первой линии. Нападающий бросок мяча со второй линии. Атакующие взаимодействия в паре. Атакующие взаимодействия в тройке. Атакующие взаимодействия игрока передней линии. Командные атакующие взаимодействия. Взаимодействие в три паса. Защитные перемещения. Выбор позиции при приеме мяча. Подстраховка партнера при приеме мяча. Индивидуальные защитные тактические действия. Групповые защитные тактические взаимодействия. Командные защитные тактические взаимодействия.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Игровая подготовка.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Подвижные игры «День и ночь», «Вызов номера», «Попробуй унеси», «Передай мяч», «15 передач», «Пятнашки с мячом», «Гонка мячей по кругу», «Салки передачами», «Живая цель», «Снайпер», «Перестрелка», «Передал-садись», «Мяч капитану», «Обгони мяч», «За мячом», эстафеты с ловлей и передачей мяча.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  <w:b/>
          <w:i/>
        </w:rPr>
      </w:pPr>
      <w:r w:rsidRPr="00EE7E3B">
        <w:rPr>
          <w:rFonts w:ascii="Segoe UI" w:hAnsi="Segoe UI" w:cs="Segoe UI"/>
          <w:b/>
          <w:i/>
        </w:rPr>
        <w:lastRenderedPageBreak/>
        <w:t>Учебные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Учебная игра в пионербол. Учебная игра в пионербол с коррекцией ошибок. Учебная игра в пионербол по упрощенным правилам. Учебная игра в пионербол по усложненным правилам. Соревнования по пионерболу. Учебно-тренировочные игры.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  <w:b/>
          <w:i/>
        </w:rPr>
        <w:t>Итоговое занятие.</w:t>
      </w:r>
      <w:r w:rsidRPr="00EE7E3B">
        <w:rPr>
          <w:rFonts w:ascii="Segoe UI" w:hAnsi="Segoe UI" w:cs="Segoe UI"/>
        </w:rPr>
        <w:t xml:space="preserve"> </w:t>
      </w:r>
    </w:p>
    <w:p w:rsidR="00BD58C0" w:rsidRPr="00EE7E3B" w:rsidRDefault="00BD58C0" w:rsidP="00BD58C0">
      <w:pPr>
        <w:ind w:firstLine="709"/>
        <w:jc w:val="both"/>
        <w:rPr>
          <w:rFonts w:ascii="Segoe UI" w:hAnsi="Segoe UI" w:cs="Segoe UI"/>
        </w:rPr>
      </w:pPr>
      <w:r w:rsidRPr="00EE7E3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D58C0">
        <w:rPr>
          <w:rFonts w:ascii="Segoe UI" w:hAnsi="Segoe UI" w:cs="Segoe UI"/>
        </w:rPr>
        <w:t>Пионербол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00361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bookmarkStart w:id="3" w:name="_GoBack"/>
            <w:bookmarkEnd w:id="3"/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1D4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7</cp:revision>
  <dcterms:created xsi:type="dcterms:W3CDTF">2022-03-25T09:15:00Z</dcterms:created>
  <dcterms:modified xsi:type="dcterms:W3CDTF">2022-10-20T06:54:00Z</dcterms:modified>
</cp:coreProperties>
</file>